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4D9AC" w14:textId="54AC86D4" w:rsidR="003404EF" w:rsidRPr="003404EF" w:rsidRDefault="003404EF" w:rsidP="003404EF">
      <w:pPr>
        <w:spacing w:before="100" w:beforeAutospacing="1" w:after="150" w:line="300" w:lineRule="atLeast"/>
        <w:outlineLvl w:val="1"/>
        <w:rPr>
          <w:rFonts w:ascii="Verdana" w:eastAsia="Times New Roman" w:hAnsi="Verdana" w:cs="Times New Roman"/>
          <w:b/>
          <w:bCs/>
          <w:color w:val="000000"/>
          <w:sz w:val="18"/>
          <w:szCs w:val="18"/>
        </w:rPr>
      </w:pPr>
    </w:p>
    <w:tbl>
      <w:tblPr>
        <w:tblW w:w="5000" w:type="pct"/>
        <w:tblCellSpacing w:w="30" w:type="dxa"/>
        <w:tblCellMar>
          <w:left w:w="0" w:type="dxa"/>
          <w:right w:w="0" w:type="dxa"/>
        </w:tblCellMar>
        <w:tblLook w:val="04A0" w:firstRow="1" w:lastRow="0" w:firstColumn="1" w:lastColumn="0" w:noHBand="0" w:noVBand="1"/>
      </w:tblPr>
      <w:tblGrid>
        <w:gridCol w:w="9360"/>
      </w:tblGrid>
      <w:tr w:rsidR="003404EF" w:rsidRPr="003404EF" w14:paraId="453BE032" w14:textId="77777777" w:rsidTr="003404EF">
        <w:trPr>
          <w:tblCellSpacing w:w="30" w:type="dxa"/>
        </w:trPr>
        <w:tc>
          <w:tcPr>
            <w:tcW w:w="4936" w:type="pct"/>
            <w:hideMark/>
          </w:tcPr>
          <w:p w14:paraId="43839868" w14:textId="2659AAB2"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t>Problem 18-01</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Profit or Loss on New Stock Issue</w:t>
            </w:r>
          </w:p>
          <w:p w14:paraId="2A7A9E2E"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Security Brokers Inc. specializes in underwriting new issues by small firms. On a recent offering of Beedles Inc., the terms were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5"/>
              <w:gridCol w:w="1545"/>
            </w:tblGrid>
            <w:tr w:rsidR="003404EF" w:rsidRPr="003404EF" w14:paraId="7A044027" w14:textId="77777777" w:rsidTr="003404EF">
              <w:trPr>
                <w:tblCellSpacing w:w="15" w:type="dxa"/>
              </w:trPr>
              <w:tc>
                <w:tcPr>
                  <w:tcW w:w="2100" w:type="dxa"/>
                  <w:hideMark/>
                </w:tcPr>
                <w:p w14:paraId="3D1320BB"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Price to public: </w:t>
                  </w:r>
                </w:p>
              </w:tc>
              <w:tc>
                <w:tcPr>
                  <w:tcW w:w="1500" w:type="dxa"/>
                  <w:hideMark/>
                </w:tcPr>
                <w:p w14:paraId="21DB6D7E"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$5 per share </w:t>
                  </w:r>
                </w:p>
              </w:tc>
            </w:tr>
            <w:tr w:rsidR="003404EF" w:rsidRPr="003404EF" w14:paraId="2F65E32F" w14:textId="77777777" w:rsidTr="003404EF">
              <w:trPr>
                <w:tblCellSpacing w:w="15" w:type="dxa"/>
              </w:trPr>
              <w:tc>
                <w:tcPr>
                  <w:tcW w:w="2100" w:type="dxa"/>
                  <w:hideMark/>
                </w:tcPr>
                <w:p w14:paraId="101E2004"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Number of shares: </w:t>
                  </w:r>
                </w:p>
              </w:tc>
              <w:tc>
                <w:tcPr>
                  <w:tcW w:w="1500" w:type="dxa"/>
                  <w:hideMark/>
                </w:tcPr>
                <w:p w14:paraId="6EBEF911"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 million </w:t>
                  </w:r>
                </w:p>
              </w:tc>
            </w:tr>
            <w:tr w:rsidR="003404EF" w:rsidRPr="003404EF" w14:paraId="720FC8ED" w14:textId="77777777" w:rsidTr="003404EF">
              <w:trPr>
                <w:tblCellSpacing w:w="15" w:type="dxa"/>
              </w:trPr>
              <w:tc>
                <w:tcPr>
                  <w:tcW w:w="2100" w:type="dxa"/>
                  <w:hideMark/>
                </w:tcPr>
                <w:p w14:paraId="72C94C07"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Proceeds to Beedles: </w:t>
                  </w:r>
                </w:p>
              </w:tc>
              <w:tc>
                <w:tcPr>
                  <w:tcW w:w="1500" w:type="dxa"/>
                  <w:hideMark/>
                </w:tcPr>
                <w:p w14:paraId="2F768D19"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$14,000,000 </w:t>
                  </w:r>
                </w:p>
              </w:tc>
            </w:tr>
          </w:tbl>
          <w:p w14:paraId="629C2BEC"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The out-of-pocket expenses incurred by Security Brokers in the design and distribution of the issue were $430,000. What profit or loss would Security Brokers incur if the issue were sold to the public at the following average price?</w:t>
            </w:r>
          </w:p>
          <w:p w14:paraId="1C4DF872" w14:textId="44EC29B2" w:rsidR="003404EF" w:rsidRPr="003404EF" w:rsidRDefault="003404EF" w:rsidP="003404EF">
            <w:pPr>
              <w:numPr>
                <w:ilvl w:val="0"/>
                <w:numId w:val="2"/>
              </w:numPr>
              <w:spacing w:after="24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$5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225" w:dyaOrig="225" w14:anchorId="28BE1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42pt;height:18pt" o:ole="">
                  <v:imagedata r:id="rId5" o:title=""/>
                </v:shape>
                <w:control r:id="rId6" w:name="DefaultOcxName" w:shapeid="_x0000_i1073"/>
              </w:object>
            </w:r>
            <w:r w:rsidRPr="003404EF">
              <w:rPr>
                <w:rFonts w:ascii="Verdana" w:eastAsia="Times New Roman" w:hAnsi="Verdana" w:cs="Times New Roman"/>
                <w:b/>
                <w:bCs/>
                <w:color w:val="000000"/>
                <w:sz w:val="18"/>
                <w:szCs w:val="18"/>
              </w:rPr>
              <w:t xml:space="preserve"> </w:t>
            </w:r>
          </w:p>
          <w:p w14:paraId="7640DC9E" w14:textId="2184DDA3" w:rsidR="003404EF" w:rsidRPr="003404EF" w:rsidRDefault="003404EF" w:rsidP="003404EF">
            <w:pPr>
              <w:numPr>
                <w:ilvl w:val="0"/>
                <w:numId w:val="2"/>
              </w:numPr>
              <w:spacing w:after="24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$6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225" w:dyaOrig="225" w14:anchorId="2013029F">
                <v:shape id="_x0000_i1076" type="#_x0000_t75" style="width:42pt;height:18pt" o:ole="">
                  <v:imagedata r:id="rId7" o:title=""/>
                </v:shape>
                <w:control r:id="rId8" w:name="DefaultOcxName1" w:shapeid="_x0000_i1076"/>
              </w:object>
            </w:r>
            <w:r w:rsidRPr="003404EF">
              <w:rPr>
                <w:rFonts w:ascii="Verdana" w:eastAsia="Times New Roman" w:hAnsi="Verdana" w:cs="Times New Roman"/>
                <w:b/>
                <w:bCs/>
                <w:color w:val="000000"/>
                <w:sz w:val="18"/>
                <w:szCs w:val="18"/>
              </w:rPr>
              <w:t xml:space="preserve"> </w:t>
            </w:r>
          </w:p>
          <w:p w14:paraId="315C83DF" w14:textId="793D85B6" w:rsidR="003404EF" w:rsidRPr="003404EF" w:rsidRDefault="003404EF" w:rsidP="003404EF">
            <w:pPr>
              <w:numPr>
                <w:ilvl w:val="0"/>
                <w:numId w:val="2"/>
              </w:numPr>
              <w:spacing w:after="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 per share? Use minus sign to enter loss, if any. </w:t>
            </w:r>
            <w:r w:rsidRPr="003404EF">
              <w:rPr>
                <w:rFonts w:ascii="Verdana" w:eastAsia="Times New Roman" w:hAnsi="Verdana" w:cs="Times New Roman"/>
                <w:color w:val="000000"/>
                <w:sz w:val="18"/>
                <w:szCs w:val="18"/>
              </w:rPr>
              <w:br/>
              <w:t>$</w:t>
            </w:r>
            <w:r w:rsidRPr="003404EF">
              <w:rPr>
                <w:rFonts w:ascii="Verdana" w:eastAsia="Times New Roman" w:hAnsi="Verdana" w:cs="Times New Roman"/>
                <w:b/>
                <w:bCs/>
                <w:color w:val="000000"/>
                <w:sz w:val="18"/>
                <w:szCs w:val="18"/>
              </w:rPr>
              <w:object w:dxaOrig="225" w:dyaOrig="225" w14:anchorId="14584D14">
                <v:shape id="_x0000_i1079" type="#_x0000_t75" style="width:42pt;height:18pt" o:ole="">
                  <v:imagedata r:id="rId9" o:title=""/>
                </v:shape>
                <w:control r:id="rId10" w:name="DefaultOcxName2" w:shapeid="_x0000_i1079"/>
              </w:object>
            </w:r>
            <w:r w:rsidRPr="003404EF">
              <w:rPr>
                <w:rFonts w:ascii="Verdana" w:eastAsia="Times New Roman" w:hAnsi="Verdana" w:cs="Times New Roman"/>
                <w:b/>
                <w:bCs/>
                <w:color w:val="000000"/>
                <w:sz w:val="18"/>
                <w:szCs w:val="18"/>
              </w:rPr>
              <w:t xml:space="preserve"> </w:t>
            </w:r>
          </w:p>
        </w:tc>
      </w:tr>
    </w:tbl>
    <w:p w14:paraId="24836192"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235AF062"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7D3C560D"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3081D031"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BE1B1E7"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4221B25"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359E5A5B"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B0B3313" w14:textId="77777777" w:rsidR="003404EF" w:rsidRDefault="003404EF" w:rsidP="003404EF">
      <w:pPr>
        <w:spacing w:before="100" w:beforeAutospacing="1" w:after="100" w:afterAutospacing="1" w:line="315" w:lineRule="atLeast"/>
        <w:rPr>
          <w:rFonts w:ascii="Verdana" w:eastAsia="Times New Roman" w:hAnsi="Verdana" w:cs="Times New Roman"/>
          <w:b/>
          <w:bCs/>
          <w:color w:val="000000"/>
          <w:sz w:val="18"/>
          <w:szCs w:val="18"/>
        </w:rPr>
      </w:pPr>
    </w:p>
    <w:p w14:paraId="0A565B1C" w14:textId="16FD35F2"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lastRenderedPageBreak/>
        <w:t>Problem 18-07</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Refunding Analysis</w:t>
      </w:r>
    </w:p>
    <w:p w14:paraId="2DF1F313"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Mullet Technologies is considering whether or not to refund a $200 million, 12% coupon, 30-year bond issue that was sold 5 years ago. It is amortizing $3 million of flotation costs on the 12% bonds over the issue's 30-year life. Mullet's investment banks have indicated that the company could sell a new 25-year issue at an interest rate of 11% in today's market. Neither they nor Mullet's management anticipate that interest rates will fall below 11% any time soon, but there is a chance that rates will increase.</w:t>
      </w:r>
    </w:p>
    <w:p w14:paraId="3606F8B1"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 call premium of 8% would be required to retire the old bonds, and flotation costs on the new issue would amount to $4 million. Mullet's marginal federal-plus-state tax rate is 40%. The new bonds would be issued 1 month before the old bonds are called, with the proceeds being invested in short-term government securities returning 5% annually during the interim period.</w:t>
      </w:r>
    </w:p>
    <w:p w14:paraId="447F8182" w14:textId="77777777" w:rsidR="003404EF" w:rsidRPr="003404EF" w:rsidRDefault="003404EF" w:rsidP="003404EF">
      <w:pPr>
        <w:numPr>
          <w:ilvl w:val="0"/>
          <w:numId w:val="3"/>
        </w:numPr>
        <w:spacing w:after="100" w:afterAutospacing="1"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Conduct a complete bond refunding analysis. What is the bond refunding's NPV? Do not round intermediate calculations. Round your answer to the nearest cent.</w:t>
      </w:r>
    </w:p>
    <w:p w14:paraId="6A981E95" w14:textId="3628910B" w:rsidR="003404EF" w:rsidRPr="003404EF" w:rsidRDefault="003404EF" w:rsidP="003404EF">
      <w:pPr>
        <w:spacing w:after="0"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r w:rsidRPr="003404EF">
        <w:rPr>
          <w:rFonts w:ascii="Verdana" w:eastAsia="Times New Roman" w:hAnsi="Verdana" w:cs="Times New Roman"/>
          <w:color w:val="000000"/>
          <w:sz w:val="18"/>
          <w:szCs w:val="18"/>
          <w:bdr w:val="none" w:sz="0" w:space="0" w:color="auto" w:frame="1"/>
        </w:rPr>
        <w:object w:dxaOrig="225" w:dyaOrig="225" w14:anchorId="7CFDF14E">
          <v:shape id="_x0000_i1142" type="#_x0000_t75" style="width:42pt;height:18pt" o:ole="">
            <v:imagedata r:id="rId11" o:title=""/>
          </v:shape>
          <w:control r:id="rId12" w:name="DefaultOcxName3" w:shapeid="_x0000_i1142"/>
        </w:object>
      </w:r>
      <w:r w:rsidRPr="003404EF">
        <w:rPr>
          <w:rFonts w:ascii="Verdana" w:eastAsia="Times New Roman" w:hAnsi="Verdana" w:cs="Times New Roman"/>
          <w:color w:val="000000"/>
          <w:sz w:val="18"/>
          <w:szCs w:val="18"/>
          <w:bdr w:val="none" w:sz="0" w:space="0" w:color="auto" w:frame="1"/>
        </w:rPr>
        <w:t xml:space="preserve"> </w:t>
      </w:r>
    </w:p>
    <w:p w14:paraId="68DA2978" w14:textId="77777777" w:rsidR="003404EF" w:rsidRPr="003404EF" w:rsidRDefault="003404EF" w:rsidP="003404EF">
      <w:pPr>
        <w:spacing w:after="0" w:line="220" w:lineRule="atLeast"/>
        <w:ind w:left="1020"/>
        <w:rPr>
          <w:rFonts w:ascii="Verdana" w:eastAsia="Times New Roman" w:hAnsi="Verdana" w:cs="Times New Roman"/>
          <w:color w:val="000000"/>
          <w:sz w:val="18"/>
          <w:szCs w:val="18"/>
        </w:rPr>
      </w:pPr>
    </w:p>
    <w:p w14:paraId="1475DDA7" w14:textId="77777777" w:rsidR="003404EF" w:rsidRPr="003404EF" w:rsidRDefault="003404EF" w:rsidP="003404EF">
      <w:pPr>
        <w:numPr>
          <w:ilvl w:val="0"/>
          <w:numId w:val="3"/>
        </w:numPr>
        <w:spacing w:after="100" w:afterAutospacing="1" w:line="315"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What factors would influence Mullet's decision to refund now rather than later?</w:t>
      </w:r>
    </w:p>
    <w:bookmarkStart w:id="0" w:name="_GoBack"/>
    <w:p w14:paraId="08C50937" w14:textId="59DDC14B" w:rsidR="003404EF" w:rsidRPr="003404EF" w:rsidRDefault="003404EF" w:rsidP="003404EF">
      <w:pPr>
        <w:spacing w:after="0" w:line="220" w:lineRule="atLeast"/>
        <w:ind w:left="1020"/>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225" w:dyaOrig="225" w14:anchorId="351F3C3A">
          <v:shape id="_x0000_i1143" type="#_x0000_t75" style="width:211.5pt;height:60.75pt" o:ole="">
            <v:imagedata r:id="rId13" o:title=""/>
          </v:shape>
          <w:control r:id="rId14" w:name="DefaultOcxName11" w:shapeid="_x0000_i1143"/>
        </w:object>
      </w:r>
      <w:bookmarkEnd w:id="0"/>
    </w:p>
    <w:p w14:paraId="2514C45E" w14:textId="47B30F2F" w:rsidR="008B3952" w:rsidRDefault="008B3952"/>
    <w:p w14:paraId="52F1D776" w14:textId="77777777" w:rsidR="003404EF" w:rsidRDefault="003404EF" w:rsidP="003404EF">
      <w:pPr>
        <w:pStyle w:val="NormalWeb"/>
        <w:spacing w:line="315" w:lineRule="atLeast"/>
        <w:rPr>
          <w:rFonts w:ascii="Verdana" w:hAnsi="Verdana"/>
          <w:color w:val="000000"/>
          <w:sz w:val="18"/>
          <w:szCs w:val="18"/>
        </w:rPr>
      </w:pPr>
      <w:r>
        <w:rPr>
          <w:rStyle w:val="Strong"/>
          <w:rFonts w:ascii="Verdana" w:hAnsi="Verdana"/>
          <w:color w:val="000000"/>
          <w:sz w:val="18"/>
          <w:szCs w:val="18"/>
        </w:rPr>
        <w:t>Problem 22-03</w:t>
      </w:r>
      <w:r>
        <w:rPr>
          <w:rFonts w:ascii="Verdana" w:hAnsi="Verdana"/>
          <w:color w:val="000000"/>
          <w:sz w:val="18"/>
          <w:szCs w:val="18"/>
        </w:rPr>
        <w:t xml:space="preserve"> </w:t>
      </w:r>
      <w:r>
        <w:rPr>
          <w:rFonts w:ascii="Verdana" w:hAnsi="Verdana"/>
          <w:color w:val="000000"/>
          <w:sz w:val="18"/>
          <w:szCs w:val="18"/>
        </w:rPr>
        <w:br/>
        <w:t>Merger Bid</w:t>
      </w:r>
    </w:p>
    <w:p w14:paraId="22E3AE7F"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Hastings Corporation is interested in acquiring Vandell Corporation. Vandell has 1 million shares outstanding and a target capital structure consisting of 30% debt; its beta is 1.50 (given its target capital structure). Vandell has $9.48 million in debt that trades at par and pays an 7.7% interest rate. Vandell’s free cash flow (FCF</w:t>
      </w:r>
      <w:r>
        <w:rPr>
          <w:rFonts w:ascii="Verdana" w:hAnsi="Verdana"/>
          <w:color w:val="000000"/>
          <w:sz w:val="18"/>
          <w:szCs w:val="18"/>
          <w:vertAlign w:val="subscript"/>
        </w:rPr>
        <w:t>0</w:t>
      </w:r>
      <w:r>
        <w:rPr>
          <w:rFonts w:ascii="Verdana" w:hAnsi="Verdana"/>
          <w:color w:val="000000"/>
          <w:sz w:val="18"/>
          <w:szCs w:val="18"/>
        </w:rPr>
        <w:t>) is $1 million per year and is expected to grow at a constant rate of 6% a year. Both Vandell and Hastings pay a 30% combined federal and state tax rate. The risk-free rate of interest is 3% and the market risk premium is 6%.</w:t>
      </w:r>
    </w:p>
    <w:p w14:paraId="13AA15CE"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 xml:space="preserve">Hastings Corporation estimates that if it acquires Vandell Corporation, synergies will cause Vandell’s free cash flows to be $2.5 million, $3.1 million, $3.4 million, and $3.53 million at Years 1 through 4, respectively, after which the free cash flows will grow at a constant 6% rate. Hastings plans to assume Vandell’s $9.48 million in debt (which has an 7.7% interest rate) and raise additional debt financing at </w:t>
      </w:r>
      <w:r>
        <w:rPr>
          <w:rFonts w:ascii="Verdana" w:hAnsi="Verdana"/>
          <w:color w:val="000000"/>
          <w:sz w:val="18"/>
          <w:szCs w:val="18"/>
        </w:rPr>
        <w:lastRenderedPageBreak/>
        <w:t xml:space="preserve">the time of the acquisition. Hastings estimates that interest payments will be $1.6 million each year for Years 1, 2, and 3. After Year 3, a target capital structure of 30% debt will be maintained. Interest at Year 4 will be $1.442 million, after which the interest and the tax shield will grow at 6%. </w:t>
      </w:r>
    </w:p>
    <w:p w14:paraId="7F13473D" w14:textId="77777777" w:rsidR="003404EF" w:rsidRDefault="003404EF" w:rsidP="003404EF">
      <w:pPr>
        <w:pStyle w:val="NormalWeb"/>
        <w:spacing w:line="315" w:lineRule="atLeast"/>
        <w:rPr>
          <w:rFonts w:ascii="Verdana" w:hAnsi="Verdana"/>
          <w:color w:val="000000"/>
          <w:sz w:val="18"/>
          <w:szCs w:val="18"/>
        </w:rPr>
      </w:pPr>
      <w:r>
        <w:rPr>
          <w:rFonts w:ascii="Verdana" w:hAnsi="Verdana"/>
          <w:color w:val="000000"/>
          <w:sz w:val="18"/>
          <w:szCs w:val="18"/>
        </w:rPr>
        <w:t xml:space="preserve">Indicate the range of possible prices that Hastings could bid for each share of Vandell common stock in an acquisition. Round your answers to the nearest cent. Do not round intermediate calculations. </w:t>
      </w:r>
    </w:p>
    <w:p w14:paraId="21A0F356" w14:textId="2E5A677B" w:rsidR="003404EF" w:rsidRDefault="003404EF" w:rsidP="003404EF">
      <w:pPr>
        <w:pStyle w:val="NormalWeb"/>
        <w:spacing w:after="0" w:afterAutospacing="0" w:line="315" w:lineRule="atLeast"/>
        <w:rPr>
          <w:rFonts w:ascii="Verdana" w:hAnsi="Verdana"/>
          <w:color w:val="000000"/>
          <w:sz w:val="18"/>
          <w:szCs w:val="18"/>
        </w:rPr>
      </w:pPr>
      <w:r>
        <w:rPr>
          <w:rFonts w:ascii="Verdana" w:hAnsi="Verdana"/>
          <w:color w:val="000000"/>
          <w:sz w:val="18"/>
          <w:szCs w:val="18"/>
        </w:rPr>
        <w:t>The bid for each share should range between $</w:t>
      </w:r>
      <w:r>
        <w:rPr>
          <w:rFonts w:ascii="Verdana" w:hAnsi="Verdana"/>
          <w:color w:val="000000"/>
          <w:sz w:val="18"/>
          <w:szCs w:val="18"/>
        </w:rPr>
        <w:object w:dxaOrig="225" w:dyaOrig="225" w14:anchorId="4D1CC1FE">
          <v:shape id="_x0000_i1140" type="#_x0000_t75" style="width:42pt;height:18pt" o:ole="">
            <v:imagedata r:id="rId15" o:title=""/>
          </v:shape>
          <w:control r:id="rId16" w:name="DefaultOcxName4" w:shapeid="_x0000_i1140"/>
        </w:object>
      </w:r>
      <w:r>
        <w:rPr>
          <w:rFonts w:ascii="Verdana" w:hAnsi="Verdana"/>
          <w:color w:val="000000"/>
          <w:sz w:val="18"/>
          <w:szCs w:val="18"/>
        </w:rPr>
        <w:t xml:space="preserve"> per share and $</w:t>
      </w:r>
      <w:r>
        <w:rPr>
          <w:rFonts w:ascii="Verdana" w:hAnsi="Verdana"/>
          <w:color w:val="000000"/>
          <w:sz w:val="18"/>
          <w:szCs w:val="18"/>
        </w:rPr>
        <w:object w:dxaOrig="225" w:dyaOrig="225" w14:anchorId="634B1858">
          <v:shape id="_x0000_i1141" type="#_x0000_t75" style="width:42pt;height:18pt" o:ole="">
            <v:imagedata r:id="rId17" o:title=""/>
          </v:shape>
          <w:control r:id="rId18" w:name="DefaultOcxName12" w:shapeid="_x0000_i1141"/>
        </w:object>
      </w:r>
      <w:r>
        <w:rPr>
          <w:rFonts w:ascii="Verdana" w:hAnsi="Verdana"/>
          <w:color w:val="000000"/>
          <w:sz w:val="18"/>
          <w:szCs w:val="18"/>
        </w:rPr>
        <w:t xml:space="preserve"> per share. </w:t>
      </w:r>
    </w:p>
    <w:p w14:paraId="3B5A4927" w14:textId="4E4FEBA0" w:rsidR="003404EF" w:rsidRDefault="003404EF"/>
    <w:p w14:paraId="6B0F2D7E" w14:textId="405128D8" w:rsidR="003404EF" w:rsidRDefault="003404EF"/>
    <w:p w14:paraId="7767EBB0"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b/>
          <w:bCs/>
          <w:color w:val="000000"/>
          <w:sz w:val="18"/>
          <w:szCs w:val="18"/>
        </w:rPr>
        <w:t>Problem 24-01</w:t>
      </w:r>
      <w:r w:rsidRPr="003404EF">
        <w:rPr>
          <w:rFonts w:ascii="Verdana" w:eastAsia="Times New Roman" w:hAnsi="Verdana" w:cs="Times New Roman"/>
          <w:color w:val="000000"/>
          <w:sz w:val="18"/>
          <w:szCs w:val="18"/>
        </w:rPr>
        <w:t xml:space="preserve"> </w:t>
      </w:r>
      <w:r w:rsidRPr="003404EF">
        <w:rPr>
          <w:rFonts w:ascii="Verdana" w:eastAsia="Times New Roman" w:hAnsi="Verdana" w:cs="Times New Roman"/>
          <w:color w:val="000000"/>
          <w:sz w:val="18"/>
          <w:szCs w:val="18"/>
        </w:rPr>
        <w:br/>
        <w:t xml:space="preserve">Liquidation </w:t>
      </w:r>
    </w:p>
    <w:p w14:paraId="68C9AA02"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Southwestern Wear Inc. has the following balance sheet:</w:t>
      </w:r>
    </w:p>
    <w:tbl>
      <w:tblPr>
        <w:tblW w:w="8250" w:type="dxa"/>
        <w:tblCellSpacing w:w="0" w:type="dxa"/>
        <w:tblCellMar>
          <w:top w:w="75" w:type="dxa"/>
          <w:left w:w="75" w:type="dxa"/>
          <w:bottom w:w="75" w:type="dxa"/>
          <w:right w:w="75" w:type="dxa"/>
        </w:tblCellMar>
        <w:tblLook w:val="04A0" w:firstRow="1" w:lastRow="0" w:firstColumn="1" w:lastColumn="0" w:noHBand="0" w:noVBand="1"/>
      </w:tblPr>
      <w:tblGrid>
        <w:gridCol w:w="2068"/>
        <w:gridCol w:w="1197"/>
        <w:gridCol w:w="302"/>
        <w:gridCol w:w="3486"/>
        <w:gridCol w:w="1197"/>
      </w:tblGrid>
      <w:tr w:rsidR="003404EF" w:rsidRPr="003404EF" w14:paraId="04128A1D" w14:textId="77777777" w:rsidTr="003404EF">
        <w:trPr>
          <w:tblCellSpacing w:w="0" w:type="dxa"/>
        </w:trPr>
        <w:tc>
          <w:tcPr>
            <w:tcW w:w="0" w:type="auto"/>
            <w:shd w:val="clear" w:color="auto" w:fill="auto"/>
            <w:hideMark/>
          </w:tcPr>
          <w:p w14:paraId="1B8BFE4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Current assets</w:t>
            </w:r>
          </w:p>
        </w:tc>
        <w:tc>
          <w:tcPr>
            <w:tcW w:w="975" w:type="dxa"/>
            <w:shd w:val="clear" w:color="auto" w:fill="auto"/>
            <w:hideMark/>
          </w:tcPr>
          <w:p w14:paraId="64A76ED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c>
          <w:tcPr>
            <w:tcW w:w="0" w:type="auto"/>
            <w:shd w:val="clear" w:color="auto" w:fill="auto"/>
            <w:hideMark/>
          </w:tcPr>
          <w:p w14:paraId="06542805"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58FE93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Accounts payable</w:t>
            </w:r>
          </w:p>
        </w:tc>
        <w:tc>
          <w:tcPr>
            <w:tcW w:w="975" w:type="dxa"/>
            <w:shd w:val="clear" w:color="auto" w:fill="auto"/>
            <w:hideMark/>
          </w:tcPr>
          <w:p w14:paraId="5CF37D16"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 </w:t>
            </w:r>
          </w:p>
        </w:tc>
      </w:tr>
      <w:tr w:rsidR="003404EF" w:rsidRPr="003404EF" w14:paraId="4C3DC151" w14:textId="77777777" w:rsidTr="003404EF">
        <w:trPr>
          <w:tblCellSpacing w:w="0" w:type="dxa"/>
        </w:trPr>
        <w:tc>
          <w:tcPr>
            <w:tcW w:w="0" w:type="auto"/>
            <w:shd w:val="clear" w:color="auto" w:fill="auto"/>
            <w:hideMark/>
          </w:tcPr>
          <w:p w14:paraId="56493B32"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Fixed assets</w:t>
            </w:r>
          </w:p>
        </w:tc>
        <w:tc>
          <w:tcPr>
            <w:tcW w:w="0" w:type="auto"/>
            <w:shd w:val="clear" w:color="auto" w:fill="auto"/>
            <w:hideMark/>
          </w:tcPr>
          <w:p w14:paraId="5270E400"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c>
          <w:tcPr>
            <w:tcW w:w="0" w:type="auto"/>
            <w:shd w:val="clear" w:color="auto" w:fill="auto"/>
            <w:hideMark/>
          </w:tcPr>
          <w:p w14:paraId="4FE7B0F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67D9D5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Notes payable</w:t>
            </w:r>
          </w:p>
        </w:tc>
        <w:tc>
          <w:tcPr>
            <w:tcW w:w="0" w:type="auto"/>
            <w:shd w:val="clear" w:color="auto" w:fill="auto"/>
            <w:hideMark/>
          </w:tcPr>
          <w:p w14:paraId="1C0A2518"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750,000 </w:t>
            </w:r>
          </w:p>
        </w:tc>
      </w:tr>
      <w:tr w:rsidR="003404EF" w:rsidRPr="003404EF" w14:paraId="5C026A9F" w14:textId="77777777" w:rsidTr="003404EF">
        <w:trPr>
          <w:tblCellSpacing w:w="0" w:type="dxa"/>
        </w:trPr>
        <w:tc>
          <w:tcPr>
            <w:tcW w:w="0" w:type="auto"/>
            <w:shd w:val="clear" w:color="auto" w:fill="auto"/>
            <w:hideMark/>
          </w:tcPr>
          <w:p w14:paraId="782E11B8"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1A6AC31F"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CCC38BB"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11A927D1"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Subordinated debentures</w:t>
            </w:r>
          </w:p>
        </w:tc>
        <w:tc>
          <w:tcPr>
            <w:tcW w:w="0" w:type="auto"/>
            <w:tcBorders>
              <w:bottom w:val="single" w:sz="6" w:space="0" w:color="000000"/>
            </w:tcBorders>
            <w:shd w:val="clear" w:color="auto" w:fill="auto"/>
            <w:hideMark/>
          </w:tcPr>
          <w:p w14:paraId="21693426"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750,000 </w:t>
            </w:r>
          </w:p>
        </w:tc>
      </w:tr>
      <w:tr w:rsidR="003404EF" w:rsidRPr="003404EF" w14:paraId="6910B502" w14:textId="77777777" w:rsidTr="003404EF">
        <w:trPr>
          <w:tblCellSpacing w:w="0" w:type="dxa"/>
        </w:trPr>
        <w:tc>
          <w:tcPr>
            <w:tcW w:w="0" w:type="auto"/>
            <w:shd w:val="clear" w:color="auto" w:fill="auto"/>
            <w:hideMark/>
          </w:tcPr>
          <w:p w14:paraId="63C14747"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8D84FC1"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D78543C"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3C4479A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debt</w:t>
            </w:r>
          </w:p>
        </w:tc>
        <w:tc>
          <w:tcPr>
            <w:tcW w:w="0" w:type="auto"/>
            <w:shd w:val="clear" w:color="auto" w:fill="auto"/>
            <w:hideMark/>
          </w:tcPr>
          <w:p w14:paraId="29FCFA0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r>
      <w:tr w:rsidR="003404EF" w:rsidRPr="003404EF" w14:paraId="448EA29B" w14:textId="77777777" w:rsidTr="003404EF">
        <w:trPr>
          <w:tblCellSpacing w:w="0" w:type="dxa"/>
        </w:trPr>
        <w:tc>
          <w:tcPr>
            <w:tcW w:w="0" w:type="auto"/>
            <w:shd w:val="clear" w:color="auto" w:fill="auto"/>
            <w:hideMark/>
          </w:tcPr>
          <w:p w14:paraId="40FCFF18"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tcBorders>
              <w:bottom w:val="single" w:sz="6" w:space="0" w:color="000000"/>
            </w:tcBorders>
            <w:shd w:val="clear" w:color="auto" w:fill="auto"/>
            <w:hideMark/>
          </w:tcPr>
          <w:p w14:paraId="44D30EBD"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6FE94C63"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6424691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Common equity</w:t>
            </w:r>
          </w:p>
        </w:tc>
        <w:tc>
          <w:tcPr>
            <w:tcW w:w="0" w:type="auto"/>
            <w:tcBorders>
              <w:bottom w:val="single" w:sz="6" w:space="0" w:color="000000"/>
            </w:tcBorders>
            <w:shd w:val="clear" w:color="auto" w:fill="auto"/>
            <w:hideMark/>
          </w:tcPr>
          <w:p w14:paraId="63E0DD17"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1,875,000 </w:t>
            </w:r>
          </w:p>
        </w:tc>
      </w:tr>
      <w:tr w:rsidR="003404EF" w:rsidRPr="003404EF" w14:paraId="217495C7" w14:textId="77777777" w:rsidTr="003404EF">
        <w:trPr>
          <w:tblCellSpacing w:w="0" w:type="dxa"/>
        </w:trPr>
        <w:tc>
          <w:tcPr>
            <w:tcW w:w="0" w:type="auto"/>
            <w:shd w:val="clear" w:color="auto" w:fill="auto"/>
            <w:hideMark/>
          </w:tcPr>
          <w:p w14:paraId="2F00F9B0"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assets</w:t>
            </w:r>
          </w:p>
        </w:tc>
        <w:tc>
          <w:tcPr>
            <w:tcW w:w="0" w:type="auto"/>
            <w:tcBorders>
              <w:bottom w:val="double" w:sz="6" w:space="0" w:color="000000"/>
            </w:tcBorders>
            <w:shd w:val="clear" w:color="auto" w:fill="auto"/>
            <w:hideMark/>
          </w:tcPr>
          <w:p w14:paraId="5377A58F"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$3,750,000 </w:t>
            </w:r>
          </w:p>
        </w:tc>
        <w:tc>
          <w:tcPr>
            <w:tcW w:w="0" w:type="auto"/>
            <w:shd w:val="clear" w:color="auto" w:fill="auto"/>
            <w:hideMark/>
          </w:tcPr>
          <w:p w14:paraId="301749E0"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c>
          <w:tcPr>
            <w:tcW w:w="0" w:type="auto"/>
            <w:shd w:val="clear" w:color="auto" w:fill="auto"/>
            <w:hideMark/>
          </w:tcPr>
          <w:p w14:paraId="0879D192"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 liabilities and equity</w:t>
            </w:r>
          </w:p>
        </w:tc>
        <w:tc>
          <w:tcPr>
            <w:tcW w:w="0" w:type="auto"/>
            <w:tcBorders>
              <w:bottom w:val="double" w:sz="6" w:space="0" w:color="000000"/>
            </w:tcBorders>
            <w:shd w:val="clear" w:color="auto" w:fill="auto"/>
            <w:hideMark/>
          </w:tcPr>
          <w:p w14:paraId="4469948C" w14:textId="77777777" w:rsidR="003404EF" w:rsidRPr="003404EF" w:rsidRDefault="003404EF" w:rsidP="003404EF">
            <w:pPr>
              <w:spacing w:after="0" w:line="315" w:lineRule="atLeast"/>
              <w:jc w:val="righ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xml:space="preserve">$3,750,000 </w:t>
            </w:r>
          </w:p>
        </w:tc>
      </w:tr>
    </w:tbl>
    <w:p w14:paraId="10A2C1BF"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The trustee's costs total $229,500, and the firm has no accrued taxes or wages. Southwestern has no unfunded pension liabilities. The debentures are subordinated only to the notes payable. If the firm goes bankrupt and liquidates, how much will each class of investors receive if a total of $3.5 million is received from sale of the assets?</w:t>
      </w:r>
    </w:p>
    <w:p w14:paraId="4EEF76AE"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Distribution of proceeds on liquidation:</w:t>
      </w:r>
    </w:p>
    <w:p w14:paraId="0498B9DE" w14:textId="53A8D730" w:rsidR="003404EF" w:rsidRDefault="003404EF"/>
    <w:p w14:paraId="29F83061" w14:textId="77777777" w:rsidR="003404EF" w:rsidRDefault="003404EF" w:rsidP="003404EF">
      <w:r>
        <w:t>1. Proceeds from sale of assets</w:t>
      </w:r>
    </w:p>
    <w:p w14:paraId="3164CCA2" w14:textId="5DACC90A" w:rsidR="003404EF" w:rsidRDefault="003404EF" w:rsidP="003404EF">
      <w:r>
        <w:t xml:space="preserve">$ </w:t>
      </w:r>
      <w:r w:rsidR="004A03B1">
        <w:t>3,500,000</w:t>
      </w:r>
    </w:p>
    <w:p w14:paraId="030B4310" w14:textId="77777777" w:rsidR="003404EF" w:rsidRDefault="003404EF" w:rsidP="003404EF">
      <w:r>
        <w:t>2. First mortgage, paid from sale of assets</w:t>
      </w:r>
    </w:p>
    <w:p w14:paraId="621878FA" w14:textId="48A971CE" w:rsidR="003404EF" w:rsidRDefault="003404EF" w:rsidP="003404EF">
      <w:r>
        <w:t xml:space="preserve">$ </w:t>
      </w:r>
      <w:r w:rsidR="004A03B1">
        <w:t>0</w:t>
      </w:r>
    </w:p>
    <w:p w14:paraId="5FE6098E" w14:textId="77777777" w:rsidR="003404EF" w:rsidRDefault="003404EF" w:rsidP="003404EF">
      <w:r>
        <w:t xml:space="preserve"> </w:t>
      </w:r>
    </w:p>
    <w:p w14:paraId="17096B4C" w14:textId="77777777" w:rsidR="003404EF" w:rsidRDefault="003404EF" w:rsidP="003404EF">
      <w:r>
        <w:lastRenderedPageBreak/>
        <w:t>3. Fees and expenses of administration of bankruptcy</w:t>
      </w:r>
    </w:p>
    <w:p w14:paraId="5F660CDD" w14:textId="277FCF45" w:rsidR="003404EF" w:rsidRDefault="003404EF" w:rsidP="003404EF">
      <w:r>
        <w:t xml:space="preserve">$ </w:t>
      </w:r>
      <w:r w:rsidR="004A03B1">
        <w:t>229,500</w:t>
      </w:r>
    </w:p>
    <w:p w14:paraId="69085459" w14:textId="77777777" w:rsidR="003404EF" w:rsidRDefault="003404EF" w:rsidP="003404EF">
      <w:r>
        <w:t xml:space="preserve"> </w:t>
      </w:r>
    </w:p>
    <w:p w14:paraId="7F98C0E8" w14:textId="77777777" w:rsidR="003404EF" w:rsidRDefault="003404EF" w:rsidP="003404EF">
      <w:r>
        <w:t xml:space="preserve">4. Wages due workers earned within 3 months </w:t>
      </w:r>
    </w:p>
    <w:p w14:paraId="222D77AC" w14:textId="77777777" w:rsidR="003404EF" w:rsidRDefault="003404EF" w:rsidP="003404EF">
      <w:r>
        <w:t>prior to filing of bankruptcy petition</w:t>
      </w:r>
    </w:p>
    <w:p w14:paraId="4554D0D5" w14:textId="6D3F3EF7" w:rsidR="003404EF" w:rsidRDefault="003404EF" w:rsidP="003404EF">
      <w:r>
        <w:t xml:space="preserve">$ </w:t>
      </w:r>
      <w:r w:rsidR="004A03B1">
        <w:t>0</w:t>
      </w:r>
    </w:p>
    <w:p w14:paraId="61DC62EE" w14:textId="77777777" w:rsidR="003404EF" w:rsidRDefault="003404EF" w:rsidP="003404EF">
      <w:r>
        <w:t xml:space="preserve"> </w:t>
      </w:r>
    </w:p>
    <w:p w14:paraId="5ECC1F59" w14:textId="77777777" w:rsidR="003404EF" w:rsidRDefault="003404EF" w:rsidP="003404EF">
      <w:r>
        <w:t>5. Taxes</w:t>
      </w:r>
    </w:p>
    <w:p w14:paraId="57DB7FD5" w14:textId="2E5F6CB6" w:rsidR="003404EF" w:rsidRDefault="003404EF" w:rsidP="003404EF">
      <w:r>
        <w:t xml:space="preserve">$ </w:t>
      </w:r>
      <w:r w:rsidR="004A03B1">
        <w:t>0</w:t>
      </w:r>
    </w:p>
    <w:p w14:paraId="1AC3FACE" w14:textId="77777777" w:rsidR="003404EF" w:rsidRDefault="003404EF" w:rsidP="003404EF">
      <w:r>
        <w:t xml:space="preserve"> </w:t>
      </w:r>
    </w:p>
    <w:p w14:paraId="6B795DF1" w14:textId="77777777" w:rsidR="003404EF" w:rsidRDefault="003404EF" w:rsidP="003404EF">
      <w:r>
        <w:t>6. Unfunded pension liabilities</w:t>
      </w:r>
    </w:p>
    <w:p w14:paraId="2A15CDBB" w14:textId="42EBDD51" w:rsidR="003404EF" w:rsidRDefault="003404EF" w:rsidP="003404EF">
      <w:r>
        <w:t xml:space="preserve">$ </w:t>
      </w:r>
      <w:r w:rsidR="000D3568">
        <w:t>229,500</w:t>
      </w:r>
    </w:p>
    <w:p w14:paraId="2182370F" w14:textId="77777777" w:rsidR="003404EF" w:rsidRDefault="003404EF" w:rsidP="003404EF">
      <w:r>
        <w:t xml:space="preserve"> </w:t>
      </w:r>
    </w:p>
    <w:p w14:paraId="1B86EFCD" w14:textId="77777777" w:rsidR="003404EF" w:rsidRDefault="003404EF" w:rsidP="003404EF">
      <w:r>
        <w:t>7. Available to general creditors</w:t>
      </w:r>
    </w:p>
    <w:p w14:paraId="0F542E72" w14:textId="5CBBDB09" w:rsidR="003404EF" w:rsidRDefault="003404EF" w:rsidP="003404EF">
      <w:r>
        <w:t>$</w:t>
      </w:r>
      <w:r w:rsidR="004A03B1">
        <w:t>3,270,500</w:t>
      </w:r>
    </w:p>
    <w:p w14:paraId="527BDE4C" w14:textId="77777777" w:rsidR="003404EF" w:rsidRDefault="003404EF" w:rsidP="003404EF"/>
    <w:p w14:paraId="3056C88A" w14:textId="77777777" w:rsidR="003404EF" w:rsidRPr="003404EF" w:rsidRDefault="003404EF" w:rsidP="003404EF">
      <w:pPr>
        <w:spacing w:before="100" w:beforeAutospacing="1" w:after="100" w:afterAutospacing="1"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Distribution to general creditors:</w:t>
      </w:r>
    </w:p>
    <w:tbl>
      <w:tblPr>
        <w:tblW w:w="10500" w:type="dxa"/>
        <w:tblCellSpacing w:w="0" w:type="dxa"/>
        <w:tblCellMar>
          <w:top w:w="75" w:type="dxa"/>
          <w:left w:w="75" w:type="dxa"/>
          <w:bottom w:w="75" w:type="dxa"/>
          <w:right w:w="75" w:type="dxa"/>
        </w:tblCellMar>
        <w:tblLook w:val="04A0" w:firstRow="1" w:lastRow="0" w:firstColumn="1" w:lastColumn="0" w:noHBand="0" w:noVBand="1"/>
      </w:tblPr>
      <w:tblGrid>
        <w:gridCol w:w="2220"/>
        <w:gridCol w:w="1067"/>
        <w:gridCol w:w="2469"/>
        <w:gridCol w:w="2494"/>
        <w:gridCol w:w="2250"/>
      </w:tblGrid>
      <w:tr w:rsidR="003404EF" w:rsidRPr="003404EF" w14:paraId="75D223F8" w14:textId="77777777" w:rsidTr="003404EF">
        <w:trPr>
          <w:tblCellSpacing w:w="0" w:type="dxa"/>
        </w:trPr>
        <w:tc>
          <w:tcPr>
            <w:tcW w:w="0" w:type="auto"/>
            <w:tcBorders>
              <w:bottom w:val="single" w:sz="6" w:space="0" w:color="000000"/>
            </w:tcBorders>
            <w:shd w:val="clear" w:color="auto" w:fill="auto"/>
            <w:hideMark/>
          </w:tcPr>
          <w:p w14:paraId="0C581B98"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Claims of General Creditors</w:t>
            </w:r>
          </w:p>
        </w:tc>
        <w:tc>
          <w:tcPr>
            <w:tcW w:w="0" w:type="auto"/>
            <w:tcBorders>
              <w:bottom w:val="single" w:sz="6" w:space="0" w:color="000000"/>
            </w:tcBorders>
            <w:shd w:val="clear" w:color="auto" w:fill="auto"/>
            <w:hideMark/>
          </w:tcPr>
          <w:p w14:paraId="2B27584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br/>
              <w:t xml:space="preserve">Claim </w:t>
            </w:r>
            <w:r w:rsidRPr="003404EF">
              <w:rPr>
                <w:rFonts w:ascii="Verdana" w:eastAsia="Times New Roman" w:hAnsi="Verdana" w:cs="Times New Roman"/>
                <w:color w:val="000000"/>
                <w:sz w:val="18"/>
                <w:szCs w:val="18"/>
              </w:rPr>
              <w:br/>
              <w:t>(1)</w:t>
            </w:r>
          </w:p>
        </w:tc>
        <w:tc>
          <w:tcPr>
            <w:tcW w:w="0" w:type="auto"/>
            <w:tcBorders>
              <w:bottom w:val="single" w:sz="6" w:space="0" w:color="000000"/>
            </w:tcBorders>
            <w:shd w:val="clear" w:color="auto" w:fill="auto"/>
            <w:hideMark/>
          </w:tcPr>
          <w:p w14:paraId="1F738A1F"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Application of 100% Distribution</w:t>
            </w:r>
            <w:r w:rsidRPr="003404EF">
              <w:rPr>
                <w:rFonts w:ascii="Verdana" w:eastAsia="Times New Roman" w:hAnsi="Verdana" w:cs="Times New Roman"/>
                <w:color w:val="000000"/>
                <w:sz w:val="18"/>
                <w:szCs w:val="18"/>
              </w:rPr>
              <w:br/>
              <w:t>(2)</w:t>
            </w:r>
          </w:p>
        </w:tc>
        <w:tc>
          <w:tcPr>
            <w:tcW w:w="0" w:type="auto"/>
            <w:tcBorders>
              <w:bottom w:val="single" w:sz="6" w:space="0" w:color="000000"/>
            </w:tcBorders>
            <w:shd w:val="clear" w:color="auto" w:fill="auto"/>
            <w:hideMark/>
          </w:tcPr>
          <w:p w14:paraId="2E867C50"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After Subordination Adjustment</w:t>
            </w:r>
            <w:r w:rsidRPr="003404EF">
              <w:rPr>
                <w:rFonts w:ascii="Verdana" w:eastAsia="Times New Roman" w:hAnsi="Verdana" w:cs="Times New Roman"/>
                <w:color w:val="000000"/>
                <w:sz w:val="18"/>
                <w:szCs w:val="18"/>
              </w:rPr>
              <w:br/>
              <w:t>(3)</w:t>
            </w:r>
          </w:p>
        </w:tc>
        <w:tc>
          <w:tcPr>
            <w:tcW w:w="2250" w:type="dxa"/>
            <w:tcBorders>
              <w:bottom w:val="single" w:sz="6" w:space="0" w:color="000000"/>
            </w:tcBorders>
            <w:shd w:val="clear" w:color="auto" w:fill="auto"/>
            <w:hideMark/>
          </w:tcPr>
          <w:p w14:paraId="785BD39D"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Percentage of Original Claims Received</w:t>
            </w:r>
            <w:r w:rsidRPr="003404EF">
              <w:rPr>
                <w:rFonts w:ascii="Verdana" w:eastAsia="Times New Roman" w:hAnsi="Verdana" w:cs="Times New Roman"/>
                <w:color w:val="000000"/>
                <w:sz w:val="18"/>
                <w:szCs w:val="18"/>
              </w:rPr>
              <w:br/>
              <w:t>(4)</w:t>
            </w:r>
          </w:p>
        </w:tc>
      </w:tr>
      <w:tr w:rsidR="003404EF" w:rsidRPr="003404EF" w14:paraId="4DEEA439" w14:textId="77777777" w:rsidTr="003404EF">
        <w:trPr>
          <w:tblCellSpacing w:w="0" w:type="dxa"/>
        </w:trPr>
        <w:tc>
          <w:tcPr>
            <w:tcW w:w="0" w:type="auto"/>
            <w:shd w:val="clear" w:color="auto" w:fill="auto"/>
            <w:vAlign w:val="bottom"/>
            <w:hideMark/>
          </w:tcPr>
          <w:p w14:paraId="19BADDB4"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Notes payable</w:t>
            </w:r>
          </w:p>
        </w:tc>
        <w:tc>
          <w:tcPr>
            <w:tcW w:w="0" w:type="auto"/>
            <w:shd w:val="clear" w:color="auto" w:fill="auto"/>
            <w:vAlign w:val="center"/>
            <w:hideMark/>
          </w:tcPr>
          <w:p w14:paraId="30D7F891" w14:textId="205EE876"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031BA147">
                <v:shape id="_x0000_i1094" type="#_x0000_t75" style="width:42pt;height:18pt" o:ole="">
                  <v:imagedata r:id="rId19" o:title=""/>
                </v:shape>
                <w:control r:id="rId20" w:name="DefaultOcxName17" w:shapeid="_x0000_i1094"/>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686792AA" w14:textId="5E44CBBB"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5606DCA9">
                <v:shape id="_x0000_i1097" type="#_x0000_t75" style="width:42pt;height:18pt" o:ole="">
                  <v:imagedata r:id="rId21" o:title=""/>
                </v:shape>
                <w:control r:id="rId22" w:name="DefaultOcxName16" w:shapeid="_x0000_i1097"/>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6872623E" w14:textId="4F11D204"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604C1E41">
                <v:shape id="_x0000_i1100" type="#_x0000_t75" style="width:42pt;height:18pt" o:ole="">
                  <v:imagedata r:id="rId23" o:title=""/>
                </v:shape>
                <w:control r:id="rId24" w:name="DefaultOcxName21" w:shapeid="_x0000_i1100"/>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072FC03D" w14:textId="012EC9B3"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225" w:dyaOrig="225" w14:anchorId="633192CE">
                <v:shape id="_x0000_i1103" type="#_x0000_t75" style="width:42pt;height:18pt" o:ole="">
                  <v:imagedata r:id="rId25" o:title=""/>
                </v:shape>
                <w:control r:id="rId26" w:name="DefaultOcxName31" w:shapeid="_x0000_i1103"/>
              </w:object>
            </w:r>
            <w:r w:rsidRPr="003404EF">
              <w:rPr>
                <w:rFonts w:ascii="Verdana" w:eastAsia="Times New Roman" w:hAnsi="Verdana" w:cs="Times New Roman"/>
                <w:color w:val="000000"/>
                <w:sz w:val="18"/>
                <w:szCs w:val="18"/>
              </w:rPr>
              <w:t>%</w:t>
            </w:r>
          </w:p>
        </w:tc>
      </w:tr>
      <w:tr w:rsidR="003404EF" w:rsidRPr="003404EF" w14:paraId="14A1611E" w14:textId="77777777" w:rsidTr="003404EF">
        <w:trPr>
          <w:tblCellSpacing w:w="0" w:type="dxa"/>
        </w:trPr>
        <w:tc>
          <w:tcPr>
            <w:tcW w:w="0" w:type="auto"/>
            <w:shd w:val="clear" w:color="auto" w:fill="auto"/>
            <w:vAlign w:val="bottom"/>
            <w:hideMark/>
          </w:tcPr>
          <w:p w14:paraId="571F0429"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Accounts payable</w:t>
            </w:r>
          </w:p>
        </w:tc>
        <w:tc>
          <w:tcPr>
            <w:tcW w:w="0" w:type="auto"/>
            <w:shd w:val="clear" w:color="auto" w:fill="auto"/>
            <w:vAlign w:val="center"/>
            <w:hideMark/>
          </w:tcPr>
          <w:p w14:paraId="5BEF707C" w14:textId="53A3C1D0"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7FD9D7F3">
                <v:shape id="_x0000_i1106" type="#_x0000_t75" style="width:42pt;height:18pt" o:ole="">
                  <v:imagedata r:id="rId27" o:title=""/>
                </v:shape>
                <w:control r:id="rId28" w:name="DefaultOcxName41" w:shapeid="_x0000_i1106"/>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0BBB2BDA" w14:textId="7FA7A2E3"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633E93CA">
                <v:shape id="_x0000_i1109" type="#_x0000_t75" style="width:42pt;height:18pt" o:ole="">
                  <v:imagedata r:id="rId29" o:title=""/>
                </v:shape>
                <w:control r:id="rId30" w:name="DefaultOcxName5" w:shapeid="_x0000_i1109"/>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268E05C4" w14:textId="36D54F64"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72B898CD">
                <v:shape id="_x0000_i1112" type="#_x0000_t75" style="width:42pt;height:18pt" o:ole="">
                  <v:imagedata r:id="rId31" o:title=""/>
                </v:shape>
                <w:control r:id="rId32" w:name="DefaultOcxName6" w:shapeid="_x0000_i1112"/>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317FF331" w14:textId="471F9262"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225" w:dyaOrig="225" w14:anchorId="2ECAEA4F">
                <v:shape id="_x0000_i1115" type="#_x0000_t75" style="width:42pt;height:18pt" o:ole="">
                  <v:imagedata r:id="rId33" o:title=""/>
                </v:shape>
                <w:control r:id="rId34" w:name="DefaultOcxName7" w:shapeid="_x0000_i1115"/>
              </w:object>
            </w:r>
            <w:r w:rsidRPr="003404EF">
              <w:rPr>
                <w:rFonts w:ascii="Verdana" w:eastAsia="Times New Roman" w:hAnsi="Verdana" w:cs="Times New Roman"/>
                <w:color w:val="000000"/>
                <w:sz w:val="18"/>
                <w:szCs w:val="18"/>
              </w:rPr>
              <w:t>%</w:t>
            </w:r>
          </w:p>
        </w:tc>
      </w:tr>
      <w:tr w:rsidR="003404EF" w:rsidRPr="003404EF" w14:paraId="47603FA2" w14:textId="77777777" w:rsidTr="003404EF">
        <w:trPr>
          <w:tblCellSpacing w:w="0" w:type="dxa"/>
        </w:trPr>
        <w:tc>
          <w:tcPr>
            <w:tcW w:w="0" w:type="auto"/>
            <w:shd w:val="clear" w:color="auto" w:fill="auto"/>
            <w:vAlign w:val="bottom"/>
            <w:hideMark/>
          </w:tcPr>
          <w:p w14:paraId="0E1765DD"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Subordinated debentures</w:t>
            </w:r>
          </w:p>
        </w:tc>
        <w:tc>
          <w:tcPr>
            <w:tcW w:w="0" w:type="auto"/>
            <w:shd w:val="clear" w:color="auto" w:fill="auto"/>
            <w:vAlign w:val="center"/>
            <w:hideMark/>
          </w:tcPr>
          <w:p w14:paraId="32AB77F9" w14:textId="6A247EF5"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398B99AA">
                <v:shape id="_x0000_i1118" type="#_x0000_t75" style="width:42pt;height:18pt" o:ole="">
                  <v:imagedata r:id="rId35" o:title=""/>
                </v:shape>
                <w:control r:id="rId36" w:name="DefaultOcxName8" w:shapeid="_x0000_i1118"/>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77265722" w14:textId="3AD00EB6"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3B92D4BE">
                <v:shape id="_x0000_i1121" type="#_x0000_t75" style="width:42pt;height:18pt" o:ole="">
                  <v:imagedata r:id="rId37" o:title=""/>
                </v:shape>
                <w:control r:id="rId38" w:name="DefaultOcxName9" w:shapeid="_x0000_i1121"/>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14E99EBA" w14:textId="3B2F8F86"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0AF84987">
                <v:shape id="_x0000_i1124" type="#_x0000_t75" style="width:42pt;height:18pt" o:ole="">
                  <v:imagedata r:id="rId39" o:title=""/>
                </v:shape>
                <w:control r:id="rId40" w:name="DefaultOcxName10" w:shapeid="_x0000_i1124"/>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617B0449" w14:textId="5286CDAE"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object w:dxaOrig="225" w:dyaOrig="225" w14:anchorId="722984F9">
                <v:shape id="_x0000_i1127" type="#_x0000_t75" style="width:42pt;height:18pt" o:ole="">
                  <v:imagedata r:id="rId41" o:title=""/>
                </v:shape>
                <w:control r:id="rId42" w:name="DefaultOcxName111" w:shapeid="_x0000_i1127"/>
              </w:object>
            </w:r>
            <w:r w:rsidRPr="003404EF">
              <w:rPr>
                <w:rFonts w:ascii="Verdana" w:eastAsia="Times New Roman" w:hAnsi="Verdana" w:cs="Times New Roman"/>
                <w:color w:val="000000"/>
                <w:sz w:val="18"/>
                <w:szCs w:val="18"/>
              </w:rPr>
              <w:t>%</w:t>
            </w:r>
          </w:p>
        </w:tc>
      </w:tr>
      <w:tr w:rsidR="003404EF" w:rsidRPr="003404EF" w14:paraId="3910A1DB" w14:textId="77777777" w:rsidTr="003404EF">
        <w:trPr>
          <w:tblCellSpacing w:w="0" w:type="dxa"/>
        </w:trPr>
        <w:tc>
          <w:tcPr>
            <w:tcW w:w="0" w:type="auto"/>
            <w:shd w:val="clear" w:color="auto" w:fill="auto"/>
            <w:vAlign w:val="bottom"/>
            <w:hideMark/>
          </w:tcPr>
          <w:p w14:paraId="5275FEE5" w14:textId="77777777" w:rsidR="003404EF" w:rsidRPr="003404EF" w:rsidRDefault="003404EF" w:rsidP="003404EF">
            <w:pPr>
              <w:spacing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Total</w:t>
            </w:r>
          </w:p>
        </w:tc>
        <w:tc>
          <w:tcPr>
            <w:tcW w:w="0" w:type="auto"/>
            <w:shd w:val="clear" w:color="auto" w:fill="auto"/>
            <w:vAlign w:val="center"/>
            <w:hideMark/>
          </w:tcPr>
          <w:p w14:paraId="13C07741" w14:textId="5C146EE0"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3DDF48DB">
                <v:shape id="_x0000_i1130" type="#_x0000_t75" style="width:42pt;height:18pt" o:ole="">
                  <v:imagedata r:id="rId43" o:title=""/>
                </v:shape>
                <w:control r:id="rId44" w:name="DefaultOcxName121" w:shapeid="_x0000_i1130"/>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59ABA6D8" w14:textId="465D135D"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39FAD1E6">
                <v:shape id="_x0000_i1133" type="#_x0000_t75" style="width:42pt;height:18pt" o:ole="">
                  <v:imagedata r:id="rId45" o:title=""/>
                </v:shape>
                <w:control r:id="rId46" w:name="DefaultOcxName13" w:shapeid="_x0000_i1133"/>
              </w:object>
            </w:r>
            <w:r w:rsidRPr="003404EF">
              <w:rPr>
                <w:rFonts w:ascii="Verdana" w:eastAsia="Times New Roman" w:hAnsi="Verdana" w:cs="Times New Roman"/>
                <w:color w:val="000000"/>
                <w:sz w:val="18"/>
                <w:szCs w:val="18"/>
              </w:rPr>
              <w:t xml:space="preserve"> </w:t>
            </w:r>
          </w:p>
        </w:tc>
        <w:tc>
          <w:tcPr>
            <w:tcW w:w="0" w:type="auto"/>
            <w:shd w:val="clear" w:color="auto" w:fill="auto"/>
            <w:vAlign w:val="center"/>
            <w:hideMark/>
          </w:tcPr>
          <w:p w14:paraId="292C8915" w14:textId="0A0AE209"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w:t>
            </w:r>
            <w:r w:rsidRPr="003404EF">
              <w:rPr>
                <w:rFonts w:ascii="Verdana" w:eastAsia="Times New Roman" w:hAnsi="Verdana" w:cs="Times New Roman"/>
                <w:color w:val="000000"/>
                <w:sz w:val="18"/>
                <w:szCs w:val="18"/>
              </w:rPr>
              <w:object w:dxaOrig="225" w:dyaOrig="225" w14:anchorId="66534450">
                <v:shape id="_x0000_i1136" type="#_x0000_t75" style="width:42pt;height:18pt" o:ole="">
                  <v:imagedata r:id="rId47" o:title=""/>
                </v:shape>
                <w:control r:id="rId48" w:name="DefaultOcxName14" w:shapeid="_x0000_i1136"/>
              </w:object>
            </w:r>
            <w:r w:rsidRPr="003404EF">
              <w:rPr>
                <w:rFonts w:ascii="Verdana" w:eastAsia="Times New Roman" w:hAnsi="Verdana" w:cs="Times New Roman"/>
                <w:color w:val="000000"/>
                <w:sz w:val="18"/>
                <w:szCs w:val="18"/>
              </w:rPr>
              <w:t xml:space="preserve"> </w:t>
            </w:r>
          </w:p>
        </w:tc>
        <w:tc>
          <w:tcPr>
            <w:tcW w:w="0" w:type="auto"/>
            <w:shd w:val="clear" w:color="auto" w:fill="auto"/>
            <w:hideMark/>
          </w:tcPr>
          <w:p w14:paraId="2C93B196" w14:textId="77777777" w:rsidR="003404EF" w:rsidRPr="003404EF" w:rsidRDefault="003404EF" w:rsidP="003404EF">
            <w:pPr>
              <w:spacing w:after="0" w:line="315" w:lineRule="atLeast"/>
              <w:jc w:val="center"/>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 </w:t>
            </w:r>
          </w:p>
        </w:tc>
      </w:tr>
    </w:tbl>
    <w:p w14:paraId="4E1E2AA5" w14:textId="297AA8FD" w:rsidR="003404EF" w:rsidRPr="003404EF" w:rsidRDefault="003404EF" w:rsidP="003404EF">
      <w:pPr>
        <w:spacing w:before="100" w:beforeAutospacing="1" w:after="0" w:line="315" w:lineRule="atLeast"/>
        <w:rPr>
          <w:rFonts w:ascii="Verdana" w:eastAsia="Times New Roman" w:hAnsi="Verdana" w:cs="Times New Roman"/>
          <w:color w:val="000000"/>
          <w:sz w:val="18"/>
          <w:szCs w:val="18"/>
        </w:rPr>
      </w:pPr>
      <w:r w:rsidRPr="003404EF">
        <w:rPr>
          <w:rFonts w:ascii="Verdana" w:eastAsia="Times New Roman" w:hAnsi="Verdana" w:cs="Times New Roman"/>
          <w:color w:val="000000"/>
          <w:sz w:val="18"/>
          <w:szCs w:val="18"/>
        </w:rPr>
        <w:t>The remaining $</w:t>
      </w:r>
      <w:r w:rsidRPr="003404EF">
        <w:rPr>
          <w:rFonts w:ascii="Verdana" w:eastAsia="Times New Roman" w:hAnsi="Verdana" w:cs="Times New Roman"/>
          <w:color w:val="000000"/>
          <w:sz w:val="18"/>
          <w:szCs w:val="18"/>
        </w:rPr>
        <w:object w:dxaOrig="225" w:dyaOrig="225" w14:anchorId="23709026">
          <v:shape id="_x0000_i1139" type="#_x0000_t75" style="width:42pt;height:18pt" o:ole="">
            <v:imagedata r:id="rId49" o:title=""/>
          </v:shape>
          <w:control r:id="rId50" w:name="DefaultOcxName15" w:shapeid="_x0000_i1139"/>
        </w:object>
      </w:r>
      <w:r w:rsidRPr="003404EF">
        <w:rPr>
          <w:rFonts w:ascii="Verdana" w:eastAsia="Times New Roman" w:hAnsi="Verdana" w:cs="Times New Roman"/>
          <w:color w:val="000000"/>
          <w:sz w:val="18"/>
          <w:szCs w:val="18"/>
        </w:rPr>
        <w:t xml:space="preserve"> will go to the common stockholders.</w:t>
      </w:r>
    </w:p>
    <w:p w14:paraId="651D1BB3" w14:textId="77777777" w:rsidR="003404EF" w:rsidRDefault="003404EF"/>
    <w:sectPr w:rsidR="00340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8649AA"/>
    <w:multiLevelType w:val="multilevel"/>
    <w:tmpl w:val="65DE72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439D1634"/>
    <w:multiLevelType w:val="multilevel"/>
    <w:tmpl w:val="DB2822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BC4DE0"/>
    <w:multiLevelType w:val="multilevel"/>
    <w:tmpl w:val="C5D884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EF"/>
    <w:rsid w:val="000D3568"/>
    <w:rsid w:val="003404EF"/>
    <w:rsid w:val="004A03B1"/>
    <w:rsid w:val="008B3952"/>
    <w:rsid w:val="00A20AE6"/>
    <w:rsid w:val="00C31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73DFD2D9"/>
  <w15:chartTrackingRefBased/>
  <w15:docId w15:val="{2A0E7CFD-55C2-4F11-BD3D-16BE9AE9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04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0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674002">
      <w:bodyDiv w:val="1"/>
      <w:marLeft w:val="0"/>
      <w:marRight w:val="0"/>
      <w:marTop w:val="0"/>
      <w:marBottom w:val="0"/>
      <w:divBdr>
        <w:top w:val="none" w:sz="0" w:space="0" w:color="auto"/>
        <w:left w:val="none" w:sz="0" w:space="0" w:color="auto"/>
        <w:bottom w:val="none" w:sz="0" w:space="0" w:color="auto"/>
        <w:right w:val="none" w:sz="0" w:space="0" w:color="auto"/>
      </w:divBdr>
      <w:divsChild>
        <w:div w:id="1229613201">
          <w:marLeft w:val="150"/>
          <w:marRight w:val="150"/>
          <w:marTop w:val="0"/>
          <w:marBottom w:val="0"/>
          <w:divBdr>
            <w:top w:val="none" w:sz="0" w:space="0" w:color="auto"/>
            <w:left w:val="none" w:sz="0" w:space="0" w:color="auto"/>
            <w:bottom w:val="none" w:sz="0" w:space="0" w:color="auto"/>
            <w:right w:val="none" w:sz="0" w:space="0" w:color="auto"/>
          </w:divBdr>
          <w:divsChild>
            <w:div w:id="454832387">
              <w:marLeft w:val="150"/>
              <w:marRight w:val="0"/>
              <w:marTop w:val="0"/>
              <w:marBottom w:val="0"/>
              <w:divBdr>
                <w:top w:val="none" w:sz="0" w:space="0" w:color="auto"/>
                <w:left w:val="none" w:sz="0" w:space="0" w:color="auto"/>
                <w:bottom w:val="none" w:sz="0" w:space="0" w:color="auto"/>
                <w:right w:val="none" w:sz="0" w:space="0" w:color="auto"/>
              </w:divBdr>
              <w:divsChild>
                <w:div w:id="994994357">
                  <w:marLeft w:val="0"/>
                  <w:marRight w:val="0"/>
                  <w:marTop w:val="0"/>
                  <w:marBottom w:val="0"/>
                  <w:divBdr>
                    <w:top w:val="none" w:sz="0" w:space="0" w:color="auto"/>
                    <w:left w:val="none" w:sz="0" w:space="0" w:color="auto"/>
                    <w:bottom w:val="none" w:sz="0" w:space="0" w:color="auto"/>
                    <w:right w:val="none" w:sz="0" w:space="0" w:color="auto"/>
                  </w:divBdr>
                  <w:divsChild>
                    <w:div w:id="2026134206">
                      <w:marLeft w:val="0"/>
                      <w:marRight w:val="0"/>
                      <w:marTop w:val="0"/>
                      <w:marBottom w:val="0"/>
                      <w:divBdr>
                        <w:top w:val="none" w:sz="0" w:space="0" w:color="auto"/>
                        <w:left w:val="none" w:sz="0" w:space="0" w:color="auto"/>
                        <w:bottom w:val="none" w:sz="0" w:space="0" w:color="auto"/>
                        <w:right w:val="none" w:sz="0" w:space="0" w:color="auto"/>
                      </w:divBdr>
                      <w:divsChild>
                        <w:div w:id="182284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243639">
      <w:bodyDiv w:val="1"/>
      <w:marLeft w:val="0"/>
      <w:marRight w:val="0"/>
      <w:marTop w:val="0"/>
      <w:marBottom w:val="0"/>
      <w:divBdr>
        <w:top w:val="none" w:sz="0" w:space="0" w:color="auto"/>
        <w:left w:val="none" w:sz="0" w:space="0" w:color="auto"/>
        <w:bottom w:val="none" w:sz="0" w:space="0" w:color="auto"/>
        <w:right w:val="none" w:sz="0" w:space="0" w:color="auto"/>
      </w:divBdr>
      <w:divsChild>
        <w:div w:id="2009282288">
          <w:marLeft w:val="0"/>
          <w:marRight w:val="0"/>
          <w:marTop w:val="0"/>
          <w:marBottom w:val="0"/>
          <w:divBdr>
            <w:top w:val="none" w:sz="0" w:space="0" w:color="auto"/>
            <w:left w:val="none" w:sz="0" w:space="0" w:color="auto"/>
            <w:bottom w:val="none" w:sz="0" w:space="0" w:color="auto"/>
            <w:right w:val="none" w:sz="0" w:space="0" w:color="auto"/>
          </w:divBdr>
        </w:div>
      </w:divsChild>
    </w:div>
    <w:div w:id="600114579">
      <w:bodyDiv w:val="1"/>
      <w:marLeft w:val="0"/>
      <w:marRight w:val="0"/>
      <w:marTop w:val="0"/>
      <w:marBottom w:val="0"/>
      <w:divBdr>
        <w:top w:val="none" w:sz="0" w:space="0" w:color="auto"/>
        <w:left w:val="none" w:sz="0" w:space="0" w:color="auto"/>
        <w:bottom w:val="none" w:sz="0" w:space="0" w:color="auto"/>
        <w:right w:val="none" w:sz="0" w:space="0" w:color="auto"/>
      </w:divBdr>
    </w:div>
    <w:div w:id="1548949297">
      <w:bodyDiv w:val="1"/>
      <w:marLeft w:val="0"/>
      <w:marRight w:val="0"/>
      <w:marTop w:val="0"/>
      <w:marBottom w:val="0"/>
      <w:divBdr>
        <w:top w:val="none" w:sz="0" w:space="0" w:color="auto"/>
        <w:left w:val="none" w:sz="0" w:space="0" w:color="auto"/>
        <w:bottom w:val="none" w:sz="0" w:space="0" w:color="auto"/>
        <w:right w:val="none" w:sz="0" w:space="0" w:color="auto"/>
      </w:divBdr>
      <w:divsChild>
        <w:div w:id="395008202">
          <w:marLeft w:val="0"/>
          <w:marRight w:val="0"/>
          <w:marTop w:val="0"/>
          <w:marBottom w:val="0"/>
          <w:divBdr>
            <w:top w:val="none" w:sz="0" w:space="0" w:color="auto"/>
            <w:left w:val="none" w:sz="0" w:space="0" w:color="auto"/>
            <w:bottom w:val="none" w:sz="0" w:space="0" w:color="auto"/>
            <w:right w:val="none" w:sz="0" w:space="0" w:color="auto"/>
          </w:divBdr>
          <w:divsChild>
            <w:div w:id="684288544">
              <w:marLeft w:val="0"/>
              <w:marRight w:val="0"/>
              <w:marTop w:val="0"/>
              <w:marBottom w:val="0"/>
              <w:divBdr>
                <w:top w:val="none" w:sz="0" w:space="0" w:color="auto"/>
                <w:left w:val="none" w:sz="0" w:space="0" w:color="auto"/>
                <w:bottom w:val="none" w:sz="0" w:space="0" w:color="auto"/>
                <w:right w:val="none" w:sz="0" w:space="0" w:color="auto"/>
              </w:divBdr>
            </w:div>
            <w:div w:id="187565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69345">
      <w:bodyDiv w:val="1"/>
      <w:marLeft w:val="0"/>
      <w:marRight w:val="0"/>
      <w:marTop w:val="0"/>
      <w:marBottom w:val="0"/>
      <w:divBdr>
        <w:top w:val="none" w:sz="0" w:space="0" w:color="auto"/>
        <w:left w:val="none" w:sz="0" w:space="0" w:color="auto"/>
        <w:bottom w:val="none" w:sz="0" w:space="0" w:color="auto"/>
        <w:right w:val="none" w:sz="0" w:space="0" w:color="auto"/>
      </w:divBdr>
    </w:div>
    <w:div w:id="1986003739">
      <w:bodyDiv w:val="1"/>
      <w:marLeft w:val="0"/>
      <w:marRight w:val="0"/>
      <w:marTop w:val="0"/>
      <w:marBottom w:val="0"/>
      <w:divBdr>
        <w:top w:val="none" w:sz="0" w:space="0" w:color="auto"/>
        <w:left w:val="none" w:sz="0" w:space="0" w:color="auto"/>
        <w:bottom w:val="none" w:sz="0" w:space="0" w:color="auto"/>
        <w:right w:val="none" w:sz="0" w:space="0" w:color="auto"/>
      </w:divBdr>
      <w:divsChild>
        <w:div w:id="1911035487">
          <w:marLeft w:val="150"/>
          <w:marRight w:val="0"/>
          <w:marTop w:val="0"/>
          <w:marBottom w:val="0"/>
          <w:divBdr>
            <w:top w:val="none" w:sz="0" w:space="0" w:color="auto"/>
            <w:left w:val="none" w:sz="0" w:space="0" w:color="auto"/>
            <w:bottom w:val="none" w:sz="0" w:space="0" w:color="auto"/>
            <w:right w:val="none" w:sz="0" w:space="0" w:color="auto"/>
          </w:divBdr>
        </w:div>
        <w:div w:id="2055883297">
          <w:marLeft w:val="150"/>
          <w:marRight w:val="0"/>
          <w:marTop w:val="0"/>
          <w:marBottom w:val="0"/>
          <w:divBdr>
            <w:top w:val="none" w:sz="0" w:space="0" w:color="auto"/>
            <w:left w:val="none" w:sz="0" w:space="0" w:color="auto"/>
            <w:bottom w:val="none" w:sz="0" w:space="0" w:color="auto"/>
            <w:right w:val="none" w:sz="0" w:space="0" w:color="auto"/>
          </w:divBdr>
          <w:divsChild>
            <w:div w:id="2062365636">
              <w:marLeft w:val="0"/>
              <w:marRight w:val="0"/>
              <w:marTop w:val="0"/>
              <w:marBottom w:val="0"/>
              <w:divBdr>
                <w:top w:val="none" w:sz="0" w:space="0" w:color="auto"/>
                <w:left w:val="none" w:sz="0" w:space="0" w:color="auto"/>
                <w:bottom w:val="none" w:sz="0" w:space="0" w:color="auto"/>
                <w:right w:val="none" w:sz="0" w:space="0" w:color="auto"/>
              </w:divBdr>
              <w:divsChild>
                <w:div w:id="1307200797">
                  <w:marLeft w:val="0"/>
                  <w:marRight w:val="0"/>
                  <w:marTop w:val="0"/>
                  <w:marBottom w:val="0"/>
                  <w:divBdr>
                    <w:top w:val="none" w:sz="0" w:space="0" w:color="auto"/>
                    <w:left w:val="none" w:sz="0" w:space="0" w:color="auto"/>
                    <w:bottom w:val="none" w:sz="0" w:space="0" w:color="auto"/>
                    <w:right w:val="none" w:sz="0" w:space="0" w:color="auto"/>
                  </w:divBdr>
                </w:div>
              </w:divsChild>
            </w:div>
            <w:div w:id="1745911259">
              <w:marLeft w:val="0"/>
              <w:marRight w:val="0"/>
              <w:marTop w:val="0"/>
              <w:marBottom w:val="0"/>
              <w:divBdr>
                <w:top w:val="none" w:sz="0" w:space="0" w:color="auto"/>
                <w:left w:val="none" w:sz="0" w:space="0" w:color="auto"/>
                <w:bottom w:val="none" w:sz="0" w:space="0" w:color="auto"/>
                <w:right w:val="none" w:sz="0" w:space="0" w:color="auto"/>
              </w:divBdr>
              <w:divsChild>
                <w:div w:id="1382090593">
                  <w:marLeft w:val="0"/>
                  <w:marRight w:val="0"/>
                  <w:marTop w:val="0"/>
                  <w:marBottom w:val="0"/>
                  <w:divBdr>
                    <w:top w:val="none" w:sz="0" w:space="0" w:color="auto"/>
                    <w:left w:val="none" w:sz="0" w:space="0" w:color="auto"/>
                    <w:bottom w:val="none" w:sz="0" w:space="0" w:color="auto"/>
                    <w:right w:val="none" w:sz="0" w:space="0" w:color="auto"/>
                  </w:divBdr>
                  <w:divsChild>
                    <w:div w:id="19769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control" Target="activeX/activeX15.xml"/><Relationship Id="rId42" Type="http://schemas.openxmlformats.org/officeDocument/2006/relationships/control" Target="activeX/activeX19.xml"/><Relationship Id="rId47" Type="http://schemas.openxmlformats.org/officeDocument/2006/relationships/image" Target="media/image22.wmf"/><Relationship Id="rId50" Type="http://schemas.openxmlformats.org/officeDocument/2006/relationships/control" Target="activeX/activeX23.xm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image" Target="media/image17.wmf"/><Relationship Id="rId40" Type="http://schemas.openxmlformats.org/officeDocument/2006/relationships/control" Target="activeX/activeX18.xml"/><Relationship Id="rId45" Type="http://schemas.openxmlformats.org/officeDocument/2006/relationships/image" Target="media/image21.w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image" Target="media/image23.wmf"/><Relationship Id="rId10" Type="http://schemas.openxmlformats.org/officeDocument/2006/relationships/control" Target="activeX/activeX3.xml"/><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control" Target="activeX/activeX20.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2.wmf"/><Relationship Id="rId30" Type="http://schemas.openxmlformats.org/officeDocument/2006/relationships/control" Target="activeX/activeX13.xml"/><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control" Target="activeX/activeX22.xml"/><Relationship Id="rId8" Type="http://schemas.openxmlformats.org/officeDocument/2006/relationships/control" Target="activeX/activeX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control" Target="activeX/activeX21.xml"/><Relationship Id="rId20" Type="http://schemas.openxmlformats.org/officeDocument/2006/relationships/control" Target="activeX/activeX8.xml"/><Relationship Id="rId41" Type="http://schemas.openxmlformats.org/officeDocument/2006/relationships/image" Target="media/image19.wmf"/><Relationship Id="rId1" Type="http://schemas.openxmlformats.org/officeDocument/2006/relationships/numbering" Target="numbering.xml"/><Relationship Id="rId6"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2019-01-20T09:42:00Z</dcterms:created>
  <dcterms:modified xsi:type="dcterms:W3CDTF">2019-01-20T09:42:00Z</dcterms:modified>
</cp:coreProperties>
</file>